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C6" w:rsidRDefault="00B74FC6" w:rsidP="00B74FC6">
      <w:pPr>
        <w:pStyle w:val="Standard"/>
        <w:autoSpaceDE w:val="0"/>
      </w:pPr>
    </w:p>
    <w:p w:rsidR="00B74FC6" w:rsidRPr="00B74FC6" w:rsidRDefault="00B74FC6" w:rsidP="00B74FC6">
      <w:pPr>
        <w:pStyle w:val="Standard"/>
        <w:autoSpaceDE w:val="0"/>
        <w:rPr>
          <w:rFonts w:cs="Times New Roman"/>
          <w:b/>
        </w:rPr>
      </w:pPr>
      <w:r w:rsidRPr="00B74FC6">
        <w:rPr>
          <w:rStyle w:val="StrongEmphasis"/>
          <w:rFonts w:eastAsia="TimesNewRomanPSMT" w:cs="Times New Roman"/>
          <w:b w:val="0"/>
          <w:color w:val="1A1A1A"/>
        </w:rPr>
        <w:t xml:space="preserve">Ordine del giorno: </w:t>
      </w:r>
      <w:r w:rsidRPr="00B74FC6">
        <w:rPr>
          <w:rStyle w:val="StrongEmphasis"/>
          <w:rFonts w:eastAsia="TimesNewRomanPS-BoldMT" w:cs="Times New Roman"/>
          <w:bCs w:val="0"/>
          <w:color w:val="1A1A1A"/>
        </w:rPr>
        <w:t xml:space="preserve">Dotazione alla </w:t>
      </w:r>
      <w:proofErr w:type="spellStart"/>
      <w:r w:rsidRPr="00B74FC6">
        <w:rPr>
          <w:rStyle w:val="StrongEmphasis"/>
          <w:rFonts w:eastAsia="TimesNewRomanPS-BoldMT" w:cs="Times New Roman"/>
          <w:bCs w:val="0"/>
          <w:color w:val="1A1A1A"/>
        </w:rPr>
        <w:t>Sepi</w:t>
      </w:r>
      <w:proofErr w:type="spellEnd"/>
      <w:r w:rsidRPr="00B74FC6">
        <w:rPr>
          <w:rStyle w:val="StrongEmphasis"/>
          <w:rFonts w:eastAsia="TimesNewRomanPS-BoldMT" w:cs="Times New Roman"/>
          <w:bCs w:val="0"/>
          <w:color w:val="1A1A1A"/>
        </w:rPr>
        <w:t xml:space="preserve"> di un software per la gestione dei dati relativi alle</w:t>
      </w:r>
    </w:p>
    <w:p w:rsidR="00B74FC6" w:rsidRPr="00B74FC6" w:rsidRDefault="00B74FC6" w:rsidP="00B74FC6">
      <w:pPr>
        <w:pStyle w:val="Standard"/>
        <w:autoSpaceDE w:val="0"/>
        <w:rPr>
          <w:rFonts w:eastAsia="TimesNewRomanPS-BoldMT" w:cs="Times New Roman"/>
          <w:b/>
          <w:bCs/>
          <w:color w:val="1A1A1A"/>
        </w:rPr>
      </w:pPr>
      <w:r w:rsidRPr="00B74FC6">
        <w:rPr>
          <w:rFonts w:eastAsia="TimesNewRomanPS-BoldMT" w:cs="Times New Roman"/>
          <w:b/>
          <w:bCs/>
          <w:color w:val="1A1A1A"/>
        </w:rPr>
        <w:t>dichiarazioni e ai versamenti dell’imposta di soggiorno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1A1A1A"/>
        </w:rPr>
        <w:t xml:space="preserve">Considerato che il Comune di Pisa, con il </w:t>
      </w:r>
      <w:r>
        <w:rPr>
          <w:rFonts w:ascii="TimesNewRomanPSMT" w:eastAsia="TimesNewRomanPSMT" w:hAnsi="TimesNewRomanPSMT" w:cs="TimesNewRomanPSMT"/>
          <w:color w:val="000000"/>
        </w:rPr>
        <w:t xml:space="preserve">96,19 % </w:t>
      </w:r>
      <w:r>
        <w:rPr>
          <w:rFonts w:ascii="TimesNewRomanPSMT" w:eastAsia="TimesNewRomanPSMT" w:hAnsi="TimesNewRomanPSMT" w:cs="TimesNewRomanPSMT"/>
          <w:color w:val="1A1A1A"/>
        </w:rPr>
        <w:t>del capitale sociale, è il maggior azionista della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 xml:space="preserve">società SEPI </w:t>
      </w:r>
      <w:proofErr w:type="spellStart"/>
      <w:r>
        <w:rPr>
          <w:rFonts w:ascii="TimesNewRomanPSMT" w:eastAsia="TimesNewRomanPSMT" w:hAnsi="TimesNewRomanPSMT" w:cs="TimesNewRomanPSMT"/>
          <w:color w:val="1A1A1A"/>
        </w:rPr>
        <w:t>S.p.A</w:t>
      </w:r>
      <w:proofErr w:type="spellEnd"/>
      <w:r>
        <w:rPr>
          <w:rFonts w:ascii="TimesNewRomanPSMT" w:eastAsia="TimesNewRomanPSMT" w:hAnsi="TimesNewRomanPSMT" w:cs="TimesNewRomanPSMT"/>
          <w:color w:val="1A1A1A"/>
        </w:rPr>
        <w:t>;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Visto che l’imposta di soggiorno è un’entrata significativa nell’insieme dei tributi locali;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Considerato che la difesa e il rilancio del patrimonio culturale è un elemento cruciale per lo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sviluppo locale;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Valutato che le entrate della suddetta imposta sono vincolate alle attività culturali;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Dato che al momento non è possibile fare nei tempi rapidi, che il funzionamento di una moderna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macchina amministrativa richiede, un’analisi dei versamenti e delle dichiarazioni presentate in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merito alle presenze dei due anni di applicazione dell'imposta e che un’analisi di questo genere non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è prevista dal software attualmente utilizzato.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Considerato che questa insufficienza di analisi penalizza la possibilità di controllo e di modifica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dell’attuale regolamento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Il Consiglio impegna il Sindaco e la Giunta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a mettere la SEPI e i suoi uffici nelle condizioni adeguate per incrociare rapidamente i dati delle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dichiarazioni presentate in merito alle presenze e i versamenti effettuati per l’imposta di soggiorno,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al fine di poter effettuale le valutazioni necessarie.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  <w:r>
        <w:rPr>
          <w:rFonts w:ascii="TimesNewRomanPSMT" w:eastAsia="TimesNewRomanPSMT" w:hAnsi="TimesNewRomanPSMT" w:cs="TimesNewRomanPSMT"/>
          <w:color w:val="1A1A1A"/>
        </w:rPr>
        <w:t>Marco Ricci, Una città in comune- Prc</w:t>
      </w:r>
    </w:p>
    <w:p w:rsidR="00B74FC6" w:rsidRDefault="00B74FC6" w:rsidP="00B74FC6">
      <w:pPr>
        <w:pStyle w:val="Standard"/>
        <w:autoSpaceDE w:val="0"/>
        <w:rPr>
          <w:rFonts w:ascii="TimesNewRomanPSMT" w:eastAsia="TimesNewRomanPSMT" w:hAnsi="TimesNewRomanPSMT" w:cs="TimesNewRomanPSMT"/>
          <w:color w:val="1A1A1A"/>
        </w:rPr>
      </w:pPr>
    </w:p>
    <w:p w:rsidR="00B74FC6" w:rsidRDefault="00B74FC6" w:rsidP="00B74FC6">
      <w:pPr>
        <w:pStyle w:val="Standard"/>
        <w:autoSpaceDE w:val="0"/>
      </w:pPr>
      <w:bookmarkStart w:id="0" w:name="_GoBack"/>
      <w:bookmarkEnd w:id="0"/>
      <w:r>
        <w:rPr>
          <w:rFonts w:ascii="TimesNewRomanPSMT" w:eastAsia="TimesNewRomanPSMT" w:hAnsi="TimesNewRomanPSMT" w:cs="TimesNewRomanPSMT"/>
          <w:color w:val="1A1A1A"/>
        </w:rPr>
        <w:t>Francesco Auletta, Una città in comune – Prc</w:t>
      </w:r>
    </w:p>
    <w:p w:rsidR="00170EE5" w:rsidRDefault="00170EE5"/>
    <w:sectPr w:rsidR="00170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6"/>
    <w:rsid w:val="00170EE5"/>
    <w:rsid w:val="00B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74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74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m.ricci</dc:creator>
  <cp:lastModifiedBy>m.ricci</cp:lastModifiedBy>
  <cp:revision>1</cp:revision>
  <cp:lastPrinted>2016-12-19T07:40:00Z</cp:lastPrinted>
  <dcterms:created xsi:type="dcterms:W3CDTF">2016-12-19T07:39:00Z</dcterms:created>
  <dcterms:modified xsi:type="dcterms:W3CDTF">2016-12-19T07:40:00Z</dcterms:modified>
</cp:coreProperties>
</file>